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805A" w14:textId="697D8206" w:rsidR="00A21B6D" w:rsidRPr="00C07AC8" w:rsidRDefault="00A21B6D" w:rsidP="00A21B6D">
      <w:pPr>
        <w:pStyle w:val="MDPI63Notes"/>
      </w:pPr>
      <w:r w:rsidRPr="00A21B6D">
        <w:rPr>
          <w:b/>
          <w:bCs/>
        </w:rPr>
        <w:t>Supplement S1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r>
        <w:t>Assessed demographics, sports- and injury-related information and used questionnaires.</w:t>
      </w:r>
    </w:p>
    <w:p w14:paraId="678D6E1A" w14:textId="38A9CFA4" w:rsidR="00A21B6D" w:rsidRPr="00A21B6D" w:rsidRDefault="00A21B6D">
      <w:pPr>
        <w:rPr>
          <w:b/>
          <w:bCs/>
        </w:rPr>
      </w:pPr>
    </w:p>
    <w:tbl>
      <w:tblPr>
        <w:tblStyle w:val="Tabellenraster1"/>
        <w:tblW w:w="8326" w:type="dxa"/>
        <w:tblInd w:w="-5" w:type="dxa"/>
        <w:tblLook w:val="04A0" w:firstRow="1" w:lastRow="0" w:firstColumn="1" w:lastColumn="0" w:noHBand="0" w:noVBand="1"/>
      </w:tblPr>
      <w:tblGrid>
        <w:gridCol w:w="2055"/>
        <w:gridCol w:w="6271"/>
      </w:tblGrid>
      <w:tr w:rsidR="00A21B6D" w:rsidRPr="00DB2239" w14:paraId="3BD1EA11" w14:textId="77777777" w:rsidTr="00A21B6D">
        <w:trPr>
          <w:trHeight w:val="1437"/>
        </w:trPr>
        <w:tc>
          <w:tcPr>
            <w:tcW w:w="2055" w:type="dxa"/>
          </w:tcPr>
          <w:p w14:paraId="113EB2BE" w14:textId="77777777" w:rsidR="00A21B6D" w:rsidRPr="00DB2239" w:rsidRDefault="00A21B6D" w:rsidP="00A21B6D">
            <w:pPr>
              <w:ind w:firstLine="0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DB2239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Demographic data</w:t>
            </w:r>
          </w:p>
        </w:tc>
        <w:tc>
          <w:tcPr>
            <w:tcW w:w="6271" w:type="dxa"/>
          </w:tcPr>
          <w:p w14:paraId="2D5BCE69" w14:textId="77777777" w:rsidR="00A21B6D" w:rsidRPr="00DB2239" w:rsidRDefault="00A21B6D" w:rsidP="00A21B6D">
            <w:pPr>
              <w:pStyle w:val="Listenabsatz"/>
              <w:numPr>
                <w:ilvl w:val="0"/>
                <w:numId w:val="1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Sex</w:t>
            </w:r>
          </w:p>
          <w:p w14:paraId="360A4C24" w14:textId="77777777" w:rsidR="00A21B6D" w:rsidRPr="00DB2239" w:rsidRDefault="00A21B6D" w:rsidP="00A21B6D">
            <w:pPr>
              <w:pStyle w:val="Listenabsatz"/>
              <w:numPr>
                <w:ilvl w:val="0"/>
                <w:numId w:val="1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Age</w:t>
            </w:r>
          </w:p>
          <w:p w14:paraId="4417CB2F" w14:textId="77777777" w:rsidR="00A21B6D" w:rsidRPr="00DB2239" w:rsidRDefault="00A21B6D" w:rsidP="00A21B6D">
            <w:pPr>
              <w:pStyle w:val="Listenabsatz"/>
              <w:numPr>
                <w:ilvl w:val="0"/>
                <w:numId w:val="1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Graduation level</w:t>
            </w:r>
          </w:p>
          <w:p w14:paraId="5FDA9633" w14:textId="77777777" w:rsidR="00A21B6D" w:rsidRPr="00DB2239" w:rsidRDefault="00A21B6D" w:rsidP="00A21B6D">
            <w:pPr>
              <w:pStyle w:val="Listenabsatz"/>
              <w:numPr>
                <w:ilvl w:val="0"/>
                <w:numId w:val="1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Occupation</w:t>
            </w:r>
          </w:p>
          <w:p w14:paraId="5FC11158" w14:textId="77777777" w:rsidR="00A21B6D" w:rsidRPr="00DB2239" w:rsidRDefault="00A21B6D" w:rsidP="00A21B6D">
            <w:pPr>
              <w:pStyle w:val="Listenabsatz"/>
              <w:numPr>
                <w:ilvl w:val="0"/>
                <w:numId w:val="1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Study course</w:t>
            </w:r>
          </w:p>
          <w:p w14:paraId="0CC34F9D" w14:textId="77777777" w:rsidR="00A21B6D" w:rsidRPr="00DB2239" w:rsidRDefault="00A21B6D" w:rsidP="00A21B6D">
            <w:pPr>
              <w:pStyle w:val="Listenabsatz"/>
              <w:numPr>
                <w:ilvl w:val="0"/>
                <w:numId w:val="1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Semesters of study</w:t>
            </w:r>
          </w:p>
        </w:tc>
      </w:tr>
      <w:tr w:rsidR="00A21B6D" w:rsidRPr="00DB2239" w14:paraId="671AA338" w14:textId="77777777" w:rsidTr="00A21B6D">
        <w:trPr>
          <w:trHeight w:val="3151"/>
        </w:trPr>
        <w:tc>
          <w:tcPr>
            <w:tcW w:w="2055" w:type="dxa"/>
          </w:tcPr>
          <w:p w14:paraId="7F0D5235" w14:textId="77777777" w:rsidR="00A21B6D" w:rsidRPr="00DB2239" w:rsidRDefault="00A21B6D" w:rsidP="006C657A">
            <w:pPr>
              <w:ind w:firstLine="0"/>
              <w:rPr>
                <w:rFonts w:cs="Calibri"/>
                <w:b/>
                <w:bCs/>
                <w:sz w:val="18"/>
                <w:szCs w:val="18"/>
              </w:rPr>
            </w:pPr>
            <w:r w:rsidRPr="00DB2239">
              <w:rPr>
                <w:rFonts w:cs="Calibri"/>
                <w:b/>
                <w:bCs/>
                <w:sz w:val="18"/>
                <w:szCs w:val="18"/>
              </w:rPr>
              <w:t>Sports-related data</w:t>
            </w:r>
          </w:p>
        </w:tc>
        <w:tc>
          <w:tcPr>
            <w:tcW w:w="6271" w:type="dxa"/>
          </w:tcPr>
          <w:p w14:paraId="3D17B8C2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Sport</w:t>
            </w:r>
          </w:p>
          <w:p w14:paraId="5217CDE8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Type of sports</w:t>
            </w:r>
          </w:p>
          <w:p w14:paraId="7643188A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Training sessions in main sport</w:t>
            </w:r>
          </w:p>
          <w:p w14:paraId="07116F7B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Additional training sessions</w:t>
            </w:r>
          </w:p>
          <w:p w14:paraId="42EE7336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 xml:space="preserve">Hours of training per week </w:t>
            </w:r>
          </w:p>
          <w:p w14:paraId="50C6BAEE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Competition participation</w:t>
            </w:r>
          </w:p>
          <w:p w14:paraId="72FE0DE8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Competition level</w:t>
            </w:r>
          </w:p>
          <w:p w14:paraId="17686822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Performance level</w:t>
            </w:r>
          </w:p>
          <w:p w14:paraId="1B6F94BB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Squad level</w:t>
            </w:r>
          </w:p>
          <w:p w14:paraId="22A97C23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Number of years conducting the sport</w:t>
            </w:r>
          </w:p>
          <w:p w14:paraId="5B0C1903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Seasonal phase</w:t>
            </w:r>
          </w:p>
          <w:p w14:paraId="7A28812C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Part of national team</w:t>
            </w:r>
          </w:p>
          <w:p w14:paraId="7EF06333" w14:textId="77777777" w:rsidR="00A21B6D" w:rsidRPr="00DB2239" w:rsidRDefault="00A21B6D" w:rsidP="00A21B6D">
            <w:pPr>
              <w:pStyle w:val="Listenabsatz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Experience with mental training</w:t>
            </w:r>
          </w:p>
        </w:tc>
      </w:tr>
      <w:tr w:rsidR="00A21B6D" w:rsidRPr="00DB2239" w14:paraId="71E3FA1D" w14:textId="77777777" w:rsidTr="00A21B6D">
        <w:trPr>
          <w:trHeight w:val="3387"/>
        </w:trPr>
        <w:tc>
          <w:tcPr>
            <w:tcW w:w="2055" w:type="dxa"/>
          </w:tcPr>
          <w:p w14:paraId="03F499C0" w14:textId="77777777" w:rsidR="00A21B6D" w:rsidRPr="00DB2239" w:rsidRDefault="00A21B6D" w:rsidP="006C657A">
            <w:pPr>
              <w:ind w:firstLine="0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DB2239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Injury-related data</w:t>
            </w:r>
          </w:p>
        </w:tc>
        <w:tc>
          <w:tcPr>
            <w:tcW w:w="6271" w:type="dxa"/>
          </w:tcPr>
          <w:p w14:paraId="59BB1EA2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Current injury status</w:t>
            </w:r>
          </w:p>
          <w:p w14:paraId="7A931C6B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Description of injury</w:t>
            </w:r>
          </w:p>
          <w:p w14:paraId="78B62077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Frequency within the last 12 months</w:t>
            </w:r>
          </w:p>
          <w:p w14:paraId="7E086F23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Setting of current or past injury</w:t>
            </w:r>
          </w:p>
          <w:p w14:paraId="249C7FF0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Date of current or past injury</w:t>
            </w:r>
          </w:p>
          <w:p w14:paraId="22E4D528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Cause of current or past injury</w:t>
            </w:r>
          </w:p>
          <w:p w14:paraId="3FD2377F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Severity of current or past injury</w:t>
            </w:r>
          </w:p>
          <w:p w14:paraId="7EA7E66A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Medical treatment of current or past injury</w:t>
            </w:r>
          </w:p>
          <w:p w14:paraId="0A3F6433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Drug treatment of current or past injury</w:t>
            </w:r>
          </w:p>
          <w:p w14:paraId="3CF3BD63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Rehabilitation measures of current or past injury</w:t>
            </w:r>
          </w:p>
          <w:p w14:paraId="6DB55607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Achievement of pre-injury performance level (only past injuries)</w:t>
            </w:r>
          </w:p>
          <w:p w14:paraId="60B24D4B" w14:textId="77777777" w:rsidR="00A21B6D" w:rsidRPr="00DB2239" w:rsidRDefault="00A21B6D" w:rsidP="00A21B6D">
            <w:pPr>
              <w:pStyle w:val="Listenabsatz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Recovery time (only past injuries)</w:t>
            </w:r>
          </w:p>
          <w:p w14:paraId="334C0EBD" w14:textId="77777777" w:rsidR="00A21B6D" w:rsidRPr="00DB2239" w:rsidRDefault="00A21B6D" w:rsidP="00A21B6D">
            <w:pPr>
              <w:pStyle w:val="Listenabsatz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Consequences of current or past injury</w:t>
            </w:r>
          </w:p>
          <w:p w14:paraId="07DE2FFF" w14:textId="77777777" w:rsidR="00A21B6D" w:rsidRPr="00DB2239" w:rsidRDefault="00A21B6D" w:rsidP="00A21B6D">
            <w:pPr>
              <w:pStyle w:val="Listenabsatz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Chronicity</w:t>
            </w:r>
          </w:p>
        </w:tc>
      </w:tr>
      <w:tr w:rsidR="00A21B6D" w:rsidRPr="00DB2239" w14:paraId="2BCBC0E5" w14:textId="77777777" w:rsidTr="00A21B6D">
        <w:trPr>
          <w:trHeight w:val="5062"/>
        </w:trPr>
        <w:tc>
          <w:tcPr>
            <w:tcW w:w="2055" w:type="dxa"/>
          </w:tcPr>
          <w:p w14:paraId="51FF1861" w14:textId="77777777" w:rsidR="00A21B6D" w:rsidRPr="00DB2239" w:rsidRDefault="00A21B6D" w:rsidP="006C657A">
            <w:pPr>
              <w:ind w:firstLine="0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DB2239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Psychosocial data</w:t>
            </w:r>
          </w:p>
        </w:tc>
        <w:tc>
          <w:tcPr>
            <w:tcW w:w="6271" w:type="dxa"/>
          </w:tcPr>
          <w:p w14:paraId="4257262B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Life Events (SRRS)</w:t>
            </w:r>
          </w:p>
          <w:p w14:paraId="24600CCD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Perceived Stress (PSQ)</w:t>
            </w:r>
          </w:p>
          <w:p w14:paraId="13D7CB66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Depression and Anxiety (STADI)</w:t>
            </w:r>
          </w:p>
          <w:p w14:paraId="58A2C100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Worry (PSWQ)</w:t>
            </w:r>
          </w:p>
          <w:p w14:paraId="76D2F8A2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Mental Health (GHQ)</w:t>
            </w:r>
          </w:p>
          <w:p w14:paraId="169964AD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Fatigue (FAS)</w:t>
            </w:r>
          </w:p>
          <w:p w14:paraId="15B80436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Competition anxiety (WAI-T)</w:t>
            </w:r>
          </w:p>
          <w:p w14:paraId="4F864A68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Locus of Control (IE-4)</w:t>
            </w:r>
          </w:p>
          <w:p w14:paraId="6DE159DC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Rumination (PTQ)</w:t>
            </w:r>
          </w:p>
          <w:p w14:paraId="79414434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Mindfulness (MAAS)</w:t>
            </w:r>
          </w:p>
          <w:p w14:paraId="57E285AF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Social Support (FSoz-KU14)</w:t>
            </w:r>
          </w:p>
          <w:p w14:paraId="282F8216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Burnout (ABQ-D)</w:t>
            </w:r>
          </w:p>
          <w:p w14:paraId="419E54F8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i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i/>
                <w:sz w:val="18"/>
                <w:szCs w:val="18"/>
              </w:rPr>
              <w:t>Sports-related rumination (SCRS)</w:t>
            </w:r>
          </w:p>
          <w:p w14:paraId="722E72CD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Self-Compassion (SCS-D short scale)</w:t>
            </w:r>
          </w:p>
          <w:p w14:paraId="7AF711F6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Fear of (re-)injury (TSK)</w:t>
            </w:r>
          </w:p>
          <w:p w14:paraId="7379155B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Athletic Identity (AIMS-D)</w:t>
            </w:r>
          </w:p>
          <w:p w14:paraId="0735422B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Willingness to spend (EESS)</w:t>
            </w:r>
          </w:p>
          <w:p w14:paraId="213813B6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Self-Efficacy (ESES)</w:t>
            </w:r>
          </w:p>
          <w:p w14:paraId="7F58E768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Coping behavior (Brief COPE)</w:t>
            </w:r>
          </w:p>
          <w:p w14:paraId="10B28D20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Resilience (BRS)</w:t>
            </w:r>
          </w:p>
          <w:p w14:paraId="2CDCC058" w14:textId="77777777" w:rsidR="00A21B6D" w:rsidRPr="00DB2239" w:rsidRDefault="00A21B6D" w:rsidP="00A21B6D">
            <w:pPr>
              <w:pStyle w:val="Listenabsatz"/>
              <w:numPr>
                <w:ilvl w:val="0"/>
                <w:numId w:val="5"/>
              </w:numPr>
              <w:spacing w:line="240" w:lineRule="auto"/>
              <w:ind w:firstLine="0"/>
              <w:rPr>
                <w:rFonts w:ascii="Palatino Linotype" w:hAnsi="Palatino Linotype" w:cs="Calibri"/>
                <w:sz w:val="18"/>
                <w:szCs w:val="18"/>
              </w:rPr>
            </w:pPr>
            <w:r w:rsidRPr="00DB2239">
              <w:rPr>
                <w:rFonts w:ascii="Palatino Linotype" w:hAnsi="Palatino Linotype" w:cs="Calibri"/>
                <w:sz w:val="18"/>
                <w:szCs w:val="18"/>
              </w:rPr>
              <w:t>Sense of Coherence (SOC-L9)</w:t>
            </w:r>
          </w:p>
        </w:tc>
      </w:tr>
    </w:tbl>
    <w:p w14:paraId="0EF1B414" w14:textId="5A3B3BBF" w:rsidR="00A21B6D" w:rsidRDefault="00A21B6D">
      <w:r>
        <w:rPr>
          <w:b/>
          <w:bCs/>
        </w:rPr>
        <w:t xml:space="preserve">Note. </w:t>
      </w:r>
      <w:r>
        <w:t xml:space="preserve">Information and questionnaires </w:t>
      </w:r>
      <w:r w:rsidRPr="0038591A">
        <w:rPr>
          <w:b/>
          <w:bCs/>
        </w:rPr>
        <w:t>not</w:t>
      </w:r>
      <w:r>
        <w:t xml:space="preserve"> used in the data analyses of the present study are italic</w:t>
      </w:r>
      <w:r>
        <w:t>.</w:t>
      </w:r>
    </w:p>
    <w:sectPr w:rsidR="00A2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32A"/>
    <w:multiLevelType w:val="hybridMultilevel"/>
    <w:tmpl w:val="905EFD70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956725"/>
    <w:multiLevelType w:val="hybridMultilevel"/>
    <w:tmpl w:val="A1B63E6A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FB4FED"/>
    <w:multiLevelType w:val="hybridMultilevel"/>
    <w:tmpl w:val="DB8623A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3657C9"/>
    <w:multiLevelType w:val="hybridMultilevel"/>
    <w:tmpl w:val="EFBCB4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C134C"/>
    <w:multiLevelType w:val="hybridMultilevel"/>
    <w:tmpl w:val="DC262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890694">
    <w:abstractNumId w:val="2"/>
  </w:num>
  <w:num w:numId="2" w16cid:durableId="1751079077">
    <w:abstractNumId w:val="1"/>
  </w:num>
  <w:num w:numId="3" w16cid:durableId="1649094037">
    <w:abstractNumId w:val="3"/>
  </w:num>
  <w:num w:numId="4" w16cid:durableId="1256749390">
    <w:abstractNumId w:val="4"/>
  </w:num>
  <w:num w:numId="5" w16cid:durableId="115286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6D"/>
    <w:rsid w:val="004A6E9B"/>
    <w:rsid w:val="00A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3584D"/>
  <w15:chartTrackingRefBased/>
  <w15:docId w15:val="{A1A06ABA-7D1B-FD4D-958B-3080A75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B6D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A21B6D"/>
    <w:pPr>
      <w:ind w:firstLine="720"/>
    </w:pPr>
    <w:rPr>
      <w:rFonts w:eastAsiaTheme="minorEastAsia"/>
      <w:color w:val="000000" w:themeColor="text1"/>
      <w:kern w:val="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unhideWhenUsed/>
    <w:qFormat/>
    <w:rsid w:val="00A21B6D"/>
    <w:pPr>
      <w:spacing w:line="480" w:lineRule="auto"/>
      <w:ind w:left="720"/>
      <w:contextualSpacing/>
      <w:jc w:val="left"/>
    </w:pPr>
    <w:rPr>
      <w:rFonts w:asciiTheme="minorHAnsi" w:eastAsiaTheme="minorEastAsia" w:hAnsiTheme="minorHAnsi" w:cstheme="minorBidi"/>
      <w:noProof w:val="0"/>
      <w:color w:val="000000" w:themeColor="text1"/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A2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63Notes">
    <w:name w:val="MDPI_6.3_Notes"/>
    <w:qFormat/>
    <w:rsid w:val="00A21B6D"/>
    <w:pPr>
      <w:adjustRightInd w:val="0"/>
      <w:snapToGrid w:val="0"/>
      <w:spacing w:before="24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Tabea</dc:creator>
  <cp:keywords/>
  <dc:description/>
  <cp:lastModifiedBy>Werner, Tabea</cp:lastModifiedBy>
  <cp:revision>2</cp:revision>
  <dcterms:created xsi:type="dcterms:W3CDTF">2023-09-25T12:48:00Z</dcterms:created>
  <dcterms:modified xsi:type="dcterms:W3CDTF">2023-09-26T19:19:00Z</dcterms:modified>
</cp:coreProperties>
</file>